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502"/>
          <w:tab w:val="left" w:pos="2455"/>
          <w:tab w:val="left" w:pos="5327"/>
        </w:tabs>
        <w:jc w:val="left"/>
        <w:rPr>
          <w:rFonts w:ascii="黑体" w:eastAsia="黑体"/>
          <w:sz w:val="32"/>
          <w:szCs w:val="32"/>
        </w:rPr>
      </w:pPr>
      <w:r>
        <w:rPr>
          <w:rFonts w:hint="eastAsia" w:ascii="黑体" w:eastAsia="黑体"/>
          <w:sz w:val="32"/>
          <w:szCs w:val="32"/>
        </w:rPr>
        <w:t>附件3：</w:t>
      </w:r>
    </w:p>
    <w:p>
      <w:pPr>
        <w:spacing w:line="360" w:lineRule="auto"/>
        <w:jc w:val="center"/>
        <w:rPr>
          <w:rFonts w:ascii="方正小标宋_GBK" w:eastAsia="方正小标宋_GBK"/>
          <w:bCs/>
          <w:sz w:val="36"/>
          <w:szCs w:val="36"/>
        </w:rPr>
      </w:pPr>
      <w:r>
        <w:rPr>
          <w:rFonts w:hint="eastAsia" w:ascii="方正小标宋简体" w:hAnsi="方正小标宋简体" w:eastAsia="方正小标宋简体" w:cs="方正小标宋简体"/>
          <w:bCs/>
          <w:sz w:val="36"/>
          <w:szCs w:val="36"/>
        </w:rPr>
        <w:t>201</w:t>
      </w:r>
      <w:r>
        <w:rPr>
          <w:rFonts w:hint="eastAsia" w:ascii="方正小标宋简体" w:hAnsi="方正小标宋简体" w:eastAsia="方正小标宋简体" w:cs="方正小标宋简体"/>
          <w:bCs/>
          <w:sz w:val="36"/>
          <w:szCs w:val="36"/>
          <w:lang w:val="en-US" w:eastAsia="zh-CN"/>
        </w:rPr>
        <w:t>9</w:t>
      </w:r>
      <w:r>
        <w:rPr>
          <w:rFonts w:hint="eastAsia" w:ascii="方正小标宋简体" w:hAnsi="方正小标宋简体" w:eastAsia="方正小标宋简体" w:cs="方正小标宋简体"/>
          <w:bCs/>
          <w:sz w:val="36"/>
          <w:szCs w:val="36"/>
        </w:rPr>
        <w:t>年度部门整体支出绩效自评指标计分表</w:t>
      </w:r>
    </w:p>
    <w:tbl>
      <w:tblPr>
        <w:tblStyle w:val="5"/>
        <w:tblW w:w="10111" w:type="dxa"/>
        <w:jc w:val="center"/>
        <w:tblInd w:w="0" w:type="dxa"/>
        <w:tblLayout w:type="fixed"/>
        <w:tblCellMar>
          <w:top w:w="0" w:type="dxa"/>
          <w:left w:w="108" w:type="dxa"/>
          <w:bottom w:w="0" w:type="dxa"/>
          <w:right w:w="108" w:type="dxa"/>
        </w:tblCellMar>
      </w:tblPr>
      <w:tblGrid>
        <w:gridCol w:w="518"/>
        <w:gridCol w:w="529"/>
        <w:gridCol w:w="564"/>
        <w:gridCol w:w="516"/>
        <w:gridCol w:w="1025"/>
        <w:gridCol w:w="493"/>
        <w:gridCol w:w="2662"/>
        <w:gridCol w:w="2893"/>
        <w:gridCol w:w="911"/>
      </w:tblGrid>
      <w:tr>
        <w:tblPrEx>
          <w:tblLayout w:type="fixed"/>
          <w:tblCellMar>
            <w:top w:w="0" w:type="dxa"/>
            <w:left w:w="108" w:type="dxa"/>
            <w:bottom w:w="0" w:type="dxa"/>
            <w:right w:w="108" w:type="dxa"/>
          </w:tblCellMar>
        </w:tblPrEx>
        <w:trPr>
          <w:trHeight w:val="1548" w:hRule="atLeast"/>
          <w:tblHeader/>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一级指标</w:t>
            </w:r>
          </w:p>
        </w:tc>
        <w:tc>
          <w:tcPr>
            <w:tcW w:w="52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分值</w:t>
            </w:r>
          </w:p>
        </w:tc>
        <w:tc>
          <w:tcPr>
            <w:tcW w:w="5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二级指标</w:t>
            </w:r>
          </w:p>
        </w:tc>
        <w:tc>
          <w:tcPr>
            <w:tcW w:w="51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分值</w:t>
            </w:r>
          </w:p>
        </w:tc>
        <w:tc>
          <w:tcPr>
            <w:tcW w:w="10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三级</w:t>
            </w:r>
          </w:p>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指标</w:t>
            </w:r>
          </w:p>
        </w:tc>
        <w:tc>
          <w:tcPr>
            <w:tcW w:w="49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分值</w:t>
            </w:r>
          </w:p>
        </w:tc>
        <w:tc>
          <w:tcPr>
            <w:tcW w:w="266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评价标准</w:t>
            </w:r>
          </w:p>
        </w:tc>
        <w:tc>
          <w:tcPr>
            <w:tcW w:w="289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指标说明</w:t>
            </w:r>
          </w:p>
        </w:tc>
        <w:tc>
          <w:tcPr>
            <w:tcW w:w="91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得分</w:t>
            </w:r>
          </w:p>
        </w:tc>
      </w:tr>
      <w:tr>
        <w:tblPrEx>
          <w:tblLayout w:type="fixed"/>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投入</w:t>
            </w:r>
          </w:p>
        </w:tc>
        <w:tc>
          <w:tcPr>
            <w:tcW w:w="529"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15</w:t>
            </w:r>
          </w:p>
        </w:tc>
        <w:tc>
          <w:tcPr>
            <w:tcW w:w="564"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预算配置</w:t>
            </w:r>
          </w:p>
        </w:tc>
        <w:tc>
          <w:tcPr>
            <w:tcW w:w="516"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15</w:t>
            </w: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在职人员控制率</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7</w:t>
            </w:r>
          </w:p>
        </w:tc>
        <w:tc>
          <w:tcPr>
            <w:tcW w:w="2662" w:type="dxa"/>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以100%为标准。在职人员控制率</w:t>
            </w:r>
            <w:r>
              <w:rPr>
                <w:rFonts w:hint="eastAsia" w:ascii="宋体" w:hAnsi="宋体" w:cs="宋体"/>
                <w:kern w:val="0"/>
                <w:sz w:val="20"/>
                <w:szCs w:val="20"/>
              </w:rPr>
              <w:t>≦</w:t>
            </w:r>
            <w:r>
              <w:rPr>
                <w:rFonts w:hint="eastAsia" w:ascii="仿宋_GB2312" w:hAnsi="宋体" w:eastAsia="仿宋_GB2312" w:cs="宋体"/>
                <w:kern w:val="0"/>
                <w:sz w:val="20"/>
                <w:szCs w:val="20"/>
              </w:rPr>
              <w:t>100%，计7分；每超过一个百分点扣0.2分，扣完为止。</w:t>
            </w:r>
          </w:p>
        </w:tc>
        <w:tc>
          <w:tcPr>
            <w:tcW w:w="289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在职人员控制率=（在职人员数/编制数）×100%，在职人员数：部门（单位）实际在职人数，以财政分局确定的部门决算编制口径为准。</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编制数：机构编制部门核定批复的部门（单位）的人员编制数。</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24"/>
                <w:lang w:val="en-US" w:eastAsia="zh-CN"/>
              </w:rPr>
            </w:pPr>
            <w:r>
              <w:rPr>
                <w:rFonts w:hint="eastAsia" w:ascii="宋体" w:hAnsi="宋体" w:cs="宋体"/>
                <w:kern w:val="0"/>
                <w:sz w:val="24"/>
                <w:lang w:val="en-US" w:eastAsia="zh-CN"/>
              </w:rPr>
              <w:t>7</w:t>
            </w:r>
          </w:p>
        </w:tc>
      </w:tr>
      <w:tr>
        <w:tblPrEx>
          <w:tblLayout w:type="fixed"/>
          <w:tblCellMar>
            <w:top w:w="0" w:type="dxa"/>
            <w:left w:w="108" w:type="dxa"/>
            <w:bottom w:w="0" w:type="dxa"/>
            <w:right w:w="108" w:type="dxa"/>
          </w:tblCellMar>
        </w:tblPrEx>
        <w:trPr>
          <w:trHeight w:val="1268"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continue"/>
            <w:tcBorders>
              <w:top w:val="nil"/>
              <w:left w:val="nil"/>
              <w:bottom w:val="single" w:color="auto" w:sz="4" w:space="0"/>
              <w:right w:val="single" w:color="auto" w:sz="4" w:space="0"/>
            </w:tcBorders>
            <w:vAlign w:val="center"/>
          </w:tcPr>
          <w:p>
            <w:pPr>
              <w:spacing w:line="240" w:lineRule="exact"/>
              <w:rPr>
                <w:sz w:val="20"/>
                <w:szCs w:val="20"/>
              </w:rPr>
            </w:pPr>
          </w:p>
        </w:tc>
        <w:tc>
          <w:tcPr>
            <w:tcW w:w="516"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“三公经费”变动率</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26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“三公经费”变动率</w:t>
            </w:r>
            <w:r>
              <w:rPr>
                <w:rFonts w:hint="eastAsia" w:ascii="宋体" w:hAnsi="宋体" w:cs="宋体"/>
                <w:kern w:val="0"/>
                <w:sz w:val="20"/>
                <w:szCs w:val="20"/>
              </w:rPr>
              <w:t>≦</w:t>
            </w:r>
            <w:r>
              <w:rPr>
                <w:rFonts w:hint="eastAsia" w:ascii="仿宋_GB2312" w:hAnsi="宋体" w:eastAsia="仿宋_GB2312" w:cs="宋体"/>
                <w:kern w:val="0"/>
                <w:sz w:val="20"/>
                <w:szCs w:val="20"/>
              </w:rPr>
              <w:t>0,计8分；“三公经费”＞0，每超过一个百分点扣0.8分，扣完为止。</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“三公经费”变动率=[（本年度“三公经费”预算数-上年度“三公经费”预算数）/上年度“三公经费”预算数]×100%</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8</w:t>
            </w:r>
          </w:p>
        </w:tc>
      </w:tr>
      <w:tr>
        <w:tblPrEx>
          <w:tblLayout w:type="fixed"/>
          <w:tblCellMar>
            <w:top w:w="0" w:type="dxa"/>
            <w:left w:w="108" w:type="dxa"/>
            <w:bottom w:w="0" w:type="dxa"/>
            <w:right w:w="108" w:type="dxa"/>
          </w:tblCellMar>
        </w:tblPrEx>
        <w:trPr>
          <w:trHeight w:val="957" w:hRule="atLeast"/>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过                                                                                                                                       程</w:t>
            </w:r>
          </w:p>
        </w:tc>
        <w:tc>
          <w:tcPr>
            <w:tcW w:w="529"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50</w:t>
            </w:r>
          </w:p>
        </w:tc>
        <w:tc>
          <w:tcPr>
            <w:tcW w:w="564"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预算执行</w:t>
            </w:r>
          </w:p>
        </w:tc>
        <w:tc>
          <w:tcPr>
            <w:tcW w:w="516"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20</w:t>
            </w: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预算完成率</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2662"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100%计满分，每低于5%扣2分，扣完为止。</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预算完成率=（上年结转+年初预算+本年追加预算-年末结余/</w:t>
            </w:r>
            <w:r>
              <w:rPr>
                <w:rFonts w:hint="eastAsia" w:ascii="仿宋_GB2312" w:hAnsi="宋体" w:eastAsia="仿宋_GB2312" w:cs="宋体"/>
                <w:kern w:val="0"/>
                <w:sz w:val="20"/>
                <w:szCs w:val="20"/>
                <w:lang w:val="en-US" w:eastAsia="zh-CN"/>
              </w:rPr>
              <w:t>(</w:t>
            </w:r>
            <w:r>
              <w:rPr>
                <w:rFonts w:hint="eastAsia" w:ascii="仿宋_GB2312" w:hAnsi="宋体" w:eastAsia="仿宋_GB2312" w:cs="宋体"/>
                <w:kern w:val="0"/>
                <w:sz w:val="20"/>
                <w:szCs w:val="20"/>
              </w:rPr>
              <w:t>上年结转+年初预算+本年追加预算）×100%。</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24"/>
                <w:lang w:eastAsia="zh-CN"/>
              </w:rPr>
            </w:pPr>
            <w:r>
              <w:rPr>
                <w:rFonts w:hint="eastAsia" w:ascii="宋体" w:hAnsi="宋体" w:cs="宋体"/>
                <w:color w:val="0000FF"/>
                <w:kern w:val="0"/>
                <w:sz w:val="24"/>
                <w:highlight w:val="none"/>
                <w:lang w:val="en-US" w:eastAsia="zh-CN"/>
              </w:rPr>
              <w:t>4</w:t>
            </w:r>
          </w:p>
        </w:tc>
      </w:tr>
      <w:tr>
        <w:tblPrEx>
          <w:tblLayout w:type="fixed"/>
          <w:tblCellMar>
            <w:top w:w="0" w:type="dxa"/>
            <w:left w:w="108" w:type="dxa"/>
            <w:bottom w:w="0" w:type="dxa"/>
            <w:right w:w="108" w:type="dxa"/>
          </w:tblCellMar>
        </w:tblPrEx>
        <w:trPr>
          <w:trHeight w:val="1256"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16"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预算控制率</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2662"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预算控制率=0，计5分；0-10%（含），计4分；10-20%（含），计3分；20-30%（含），计2分；大于30%不得分</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预算控制率=（本年追加预算/年初预算）×100%。</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　5</w:t>
            </w:r>
          </w:p>
        </w:tc>
      </w:tr>
      <w:tr>
        <w:tblPrEx>
          <w:tblLayout w:type="fixed"/>
          <w:tblCellMar>
            <w:top w:w="0" w:type="dxa"/>
            <w:left w:w="108" w:type="dxa"/>
            <w:bottom w:w="0" w:type="dxa"/>
            <w:right w:w="108" w:type="dxa"/>
          </w:tblCellMar>
        </w:tblPrEx>
        <w:trPr>
          <w:trHeight w:val="1441"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16"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新建楼堂馆所面积控制率</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2662"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100%以下（含）计满分，每超出5%扣2分，扣完为止。没有楼梯馆所项目的部门按满分计算</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楼堂馆所面积控制率=实际建设面积/批准建设面积×100% 。</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该指标以2016年完工的新建楼堂馆所为评价内容。</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　5</w:t>
            </w:r>
          </w:p>
        </w:tc>
      </w:tr>
      <w:tr>
        <w:tblPrEx>
          <w:tblLayout w:type="fixed"/>
          <w:tblCellMar>
            <w:top w:w="0" w:type="dxa"/>
            <w:left w:w="108" w:type="dxa"/>
            <w:bottom w:w="0" w:type="dxa"/>
            <w:right w:w="108" w:type="dxa"/>
          </w:tblCellMar>
        </w:tblPrEx>
        <w:trPr>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16"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新建楼堂馆所投资概算控制率</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2662"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100%以下（含）计满分，每超出5%扣2分，扣完为止。</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楼堂馆所投资预算控制率=实际投资金额/批准投资金额×100% 。</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该指标以2016年完工的新建楼堂馆所为评价内容。</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5</w:t>
            </w:r>
          </w:p>
        </w:tc>
      </w:tr>
      <w:tr>
        <w:tblPrEx>
          <w:tblLayout w:type="fixed"/>
          <w:tblCellMar>
            <w:top w:w="0" w:type="dxa"/>
            <w:left w:w="108" w:type="dxa"/>
            <w:bottom w:w="0" w:type="dxa"/>
            <w:right w:w="108" w:type="dxa"/>
          </w:tblCellMar>
        </w:tblPrEx>
        <w:trPr>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预算管理</w:t>
            </w:r>
          </w:p>
        </w:tc>
        <w:tc>
          <w:tcPr>
            <w:tcW w:w="516"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30</w:t>
            </w: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公用经费控制率</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7</w:t>
            </w:r>
          </w:p>
        </w:tc>
        <w:tc>
          <w:tcPr>
            <w:tcW w:w="2662"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100%以下（含）计满分，每超出1%扣1分，扣完为止。</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公用经费控制率=（实际支出公用经费总额/预算安排公用经费总额）×100%。</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公用经费支出是指部门基本支出中的一般商品和服务支出。</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7　</w:t>
            </w:r>
          </w:p>
        </w:tc>
      </w:tr>
      <w:tr>
        <w:tblPrEx>
          <w:tblLayout w:type="fixed"/>
          <w:tblCellMar>
            <w:top w:w="0" w:type="dxa"/>
            <w:left w:w="108" w:type="dxa"/>
            <w:bottom w:w="0" w:type="dxa"/>
            <w:right w:w="108" w:type="dxa"/>
          </w:tblCellMar>
        </w:tblPrEx>
        <w:trPr>
          <w:trHeight w:val="1351"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16"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“三公经费”控制率</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2662"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100%以下（含）计满分，每超出1%扣1分，扣完为止。</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“三公经费”控制率=（“三公经费”实际支出数/“三公经费”预算安排数）×100%。</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　8</w:t>
            </w:r>
          </w:p>
        </w:tc>
      </w:tr>
      <w:tr>
        <w:tblPrEx>
          <w:tblLayout w:type="fixed"/>
          <w:tblCellMar>
            <w:top w:w="0" w:type="dxa"/>
            <w:left w:w="108" w:type="dxa"/>
            <w:bottom w:w="0" w:type="dxa"/>
            <w:right w:w="108" w:type="dxa"/>
          </w:tblCellMar>
        </w:tblPrEx>
        <w:trPr>
          <w:jc w:val="center"/>
        </w:trPr>
        <w:tc>
          <w:tcPr>
            <w:tcW w:w="518" w:type="dxa"/>
            <w:vMerge w:val="restart"/>
            <w:tcBorders>
              <w:top w:val="single" w:color="auto" w:sz="4" w:space="0"/>
              <w:left w:val="single" w:color="auto" w:sz="4" w:space="0"/>
              <w:bottom w:val="single" w:color="000000" w:sz="4" w:space="0"/>
              <w:right w:val="single" w:color="auto" w:sz="4" w:space="0"/>
            </w:tcBorders>
            <w:vAlign w:val="center"/>
          </w:tcPr>
          <w:p>
            <w:pPr>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过                                                                                                                                       程</w:t>
            </w:r>
          </w:p>
        </w:tc>
        <w:tc>
          <w:tcPr>
            <w:tcW w:w="529" w:type="dxa"/>
            <w:vMerge w:val="restart"/>
            <w:tcBorders>
              <w:top w:val="single" w:color="auto" w:sz="4" w:space="0"/>
              <w:left w:val="single" w:color="auto" w:sz="4" w:space="0"/>
              <w:bottom w:val="single" w:color="000000" w:sz="4" w:space="0"/>
              <w:right w:val="single" w:color="auto" w:sz="4" w:space="0"/>
            </w:tcBorders>
            <w:vAlign w:val="center"/>
          </w:tcPr>
          <w:p>
            <w:pPr>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50</w:t>
            </w:r>
          </w:p>
        </w:tc>
        <w:tc>
          <w:tcPr>
            <w:tcW w:w="564" w:type="dxa"/>
            <w:vMerge w:val="restart"/>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预算管理</w:t>
            </w:r>
          </w:p>
        </w:tc>
        <w:tc>
          <w:tcPr>
            <w:tcW w:w="516"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管理制度健全性</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2662"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每出现一例不符合要求的扣2分，扣完为止。</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①有内部财务管理制度、会计核算制度等管理制度；</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②有本部门厉行节约制度；</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③相关管理制度合法、合规、完整；④相关管理制度得到有效执行。</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24"/>
                <w:lang w:val="en-US" w:eastAsia="zh-CN"/>
              </w:rPr>
            </w:pPr>
            <w:r>
              <w:rPr>
                <w:rFonts w:hint="eastAsia" w:ascii="宋体" w:hAnsi="宋体" w:cs="宋体"/>
                <w:kern w:val="0"/>
                <w:sz w:val="24"/>
                <w:lang w:val="en-US" w:eastAsia="zh-CN"/>
              </w:rPr>
              <w:t>6</w:t>
            </w:r>
          </w:p>
        </w:tc>
      </w:tr>
      <w:tr>
        <w:tblPrEx>
          <w:tblLayout w:type="fixed"/>
          <w:tblCellMar>
            <w:top w:w="0" w:type="dxa"/>
            <w:left w:w="108" w:type="dxa"/>
            <w:bottom w:w="0" w:type="dxa"/>
            <w:right w:w="108" w:type="dxa"/>
          </w:tblCellMar>
        </w:tblPrEx>
        <w:trPr>
          <w:jc w:val="center"/>
        </w:trPr>
        <w:tc>
          <w:tcPr>
            <w:tcW w:w="518" w:type="dxa"/>
            <w:vMerge w:val="continue"/>
            <w:tcBorders>
              <w:top w:val="single" w:color="auto" w:sz="4" w:space="0"/>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single" w:color="auto" w:sz="4" w:space="0"/>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continue"/>
            <w:tcBorders>
              <w:top w:val="nil"/>
              <w:left w:val="nil"/>
              <w:bottom w:val="single" w:color="auto" w:sz="4" w:space="0"/>
              <w:right w:val="single" w:color="auto" w:sz="4" w:space="0"/>
            </w:tcBorders>
            <w:vAlign w:val="center"/>
          </w:tcPr>
          <w:p>
            <w:pPr>
              <w:spacing w:line="240" w:lineRule="exact"/>
              <w:rPr>
                <w:sz w:val="20"/>
                <w:szCs w:val="20"/>
              </w:rPr>
            </w:pPr>
          </w:p>
        </w:tc>
        <w:tc>
          <w:tcPr>
            <w:tcW w:w="516"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资金使用合规性</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2662"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每出现一例不符合要求的扣1分，扣完为止。</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5</w:t>
            </w:r>
          </w:p>
        </w:tc>
      </w:tr>
      <w:tr>
        <w:tblPrEx>
          <w:tblLayout w:type="fixed"/>
          <w:tblCellMar>
            <w:top w:w="0" w:type="dxa"/>
            <w:left w:w="108" w:type="dxa"/>
            <w:bottom w:w="0" w:type="dxa"/>
            <w:right w:w="108" w:type="dxa"/>
          </w:tblCellMar>
        </w:tblPrEx>
        <w:trPr>
          <w:jc w:val="center"/>
        </w:trPr>
        <w:tc>
          <w:tcPr>
            <w:tcW w:w="518" w:type="dxa"/>
            <w:vMerge w:val="continue"/>
            <w:tcBorders>
              <w:top w:val="single" w:color="auto" w:sz="4" w:space="0"/>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single" w:color="auto" w:sz="4" w:space="0"/>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continue"/>
            <w:tcBorders>
              <w:top w:val="nil"/>
              <w:left w:val="nil"/>
              <w:bottom w:val="single" w:color="auto" w:sz="4" w:space="0"/>
              <w:right w:val="single" w:color="auto" w:sz="4" w:space="0"/>
            </w:tcBorders>
            <w:vAlign w:val="center"/>
          </w:tcPr>
          <w:p>
            <w:pPr>
              <w:spacing w:line="240" w:lineRule="exact"/>
              <w:rPr>
                <w:sz w:val="20"/>
                <w:szCs w:val="20"/>
              </w:rPr>
            </w:pPr>
          </w:p>
        </w:tc>
        <w:tc>
          <w:tcPr>
            <w:tcW w:w="516"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预决算信息公开性</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w:t>
            </w:r>
          </w:p>
        </w:tc>
        <w:tc>
          <w:tcPr>
            <w:tcW w:w="2662"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每出现一例不符合要求的扣1分，扣完为止。</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①按规定内容公开预决算信息；</w:t>
            </w:r>
          </w:p>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②按规定时限公开预决算信息；</w:t>
            </w:r>
          </w:p>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预决算信息是指与部门预算、执行、决算、监督、绩效等管理相关的信息。</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2</w:t>
            </w:r>
          </w:p>
        </w:tc>
      </w:tr>
      <w:tr>
        <w:tblPrEx>
          <w:tblLayout w:type="fixed"/>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产出及效率</w:t>
            </w:r>
          </w:p>
        </w:tc>
        <w:tc>
          <w:tcPr>
            <w:tcW w:w="529"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35</w:t>
            </w:r>
          </w:p>
        </w:tc>
        <w:tc>
          <w:tcPr>
            <w:tcW w:w="56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职责履行</w:t>
            </w:r>
          </w:p>
        </w:tc>
        <w:tc>
          <w:tcPr>
            <w:tcW w:w="51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1025" w:type="dxa"/>
            <w:tcBorders>
              <w:top w:val="nil"/>
              <w:left w:val="nil"/>
              <w:bottom w:val="nil"/>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目标任务实际完成率</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2662"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该项得分=（年度综合目标管理考核得分/总分）*8</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根据区年度综合目标管理考核得分折算。</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8</w:t>
            </w:r>
          </w:p>
        </w:tc>
      </w:tr>
      <w:tr>
        <w:tblPrEx>
          <w:tblLayout w:type="fixed"/>
          <w:tblCellMar>
            <w:top w:w="0" w:type="dxa"/>
            <w:left w:w="108" w:type="dxa"/>
            <w:bottom w:w="0" w:type="dxa"/>
            <w:right w:w="108" w:type="dxa"/>
          </w:tblCellMar>
        </w:tblPrEx>
        <w:trPr>
          <w:trHeight w:val="546"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履职 效益</w:t>
            </w:r>
          </w:p>
        </w:tc>
        <w:tc>
          <w:tcPr>
            <w:tcW w:w="516"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15</w:t>
            </w:r>
          </w:p>
        </w:tc>
        <w:tc>
          <w:tcPr>
            <w:tcW w:w="10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经济效益</w:t>
            </w:r>
          </w:p>
        </w:tc>
        <w:tc>
          <w:tcPr>
            <w:tcW w:w="49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5555" w:type="dxa"/>
            <w:gridSpan w:val="2"/>
            <w:vMerge w:val="restart"/>
            <w:tcBorders>
              <w:top w:val="single" w:color="auto" w:sz="4" w:space="0"/>
              <w:left w:val="single" w:color="auto" w:sz="4" w:space="0"/>
              <w:bottom w:val="nil"/>
              <w:right w:val="single" w:color="000000"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此三项指标为设置部门整体支出绩效评价指标时必须考虑的要素，可根据部门实际情况有选择的进行设置，并将其细化为相应的个性化指标。</w:t>
            </w:r>
          </w:p>
        </w:tc>
        <w:tc>
          <w:tcPr>
            <w:tcW w:w="911" w:type="dxa"/>
            <w:tcBorders>
              <w:top w:val="nil"/>
              <w:left w:val="nil"/>
              <w:bottom w:val="nil"/>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　5</w:t>
            </w:r>
          </w:p>
        </w:tc>
      </w:tr>
      <w:tr>
        <w:tblPrEx>
          <w:tblLayout w:type="fixed"/>
          <w:tblCellMar>
            <w:top w:w="0" w:type="dxa"/>
            <w:left w:w="108" w:type="dxa"/>
            <w:bottom w:w="0" w:type="dxa"/>
            <w:right w:w="108" w:type="dxa"/>
          </w:tblCellMar>
        </w:tblPrEx>
        <w:trPr>
          <w:trHeight w:val="556"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16"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102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社会效益</w:t>
            </w:r>
          </w:p>
        </w:tc>
        <w:tc>
          <w:tcPr>
            <w:tcW w:w="4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5555" w:type="dxa"/>
            <w:gridSpan w:val="2"/>
            <w:vMerge w:val="continue"/>
            <w:tcBorders>
              <w:top w:val="single" w:color="auto" w:sz="4" w:space="0"/>
              <w:left w:val="single" w:color="auto" w:sz="4" w:space="0"/>
              <w:bottom w:val="nil"/>
              <w:right w:val="single" w:color="000000" w:sz="4" w:space="0"/>
            </w:tcBorders>
            <w:vAlign w:val="center"/>
          </w:tcPr>
          <w:p>
            <w:pPr>
              <w:spacing w:line="240" w:lineRule="exact"/>
              <w:rPr>
                <w:sz w:val="20"/>
                <w:szCs w:val="20"/>
              </w:rPr>
            </w:pPr>
          </w:p>
        </w:tc>
        <w:tc>
          <w:tcPr>
            <w:tcW w:w="911" w:type="dxa"/>
            <w:vMerge w:val="restart"/>
            <w:tcBorders>
              <w:top w:val="nil"/>
              <w:left w:val="nil"/>
              <w:bottom w:val="nil"/>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10</w:t>
            </w:r>
          </w:p>
        </w:tc>
      </w:tr>
      <w:tr>
        <w:tblPrEx>
          <w:tblLayout w:type="fixed"/>
          <w:tblCellMar>
            <w:top w:w="0" w:type="dxa"/>
            <w:left w:w="108" w:type="dxa"/>
            <w:bottom w:w="0" w:type="dxa"/>
            <w:right w:w="108" w:type="dxa"/>
          </w:tblCellMar>
        </w:tblPrEx>
        <w:trPr>
          <w:trHeight w:val="430"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16"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10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生态效益</w:t>
            </w:r>
          </w:p>
        </w:tc>
        <w:tc>
          <w:tcPr>
            <w:tcW w:w="493" w:type="dxa"/>
            <w:tcBorders>
              <w:top w:val="single" w:color="auto" w:sz="4" w:space="0"/>
              <w:left w:val="single" w:color="auto" w:sz="4" w:space="0"/>
              <w:bottom w:val="nil"/>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5555" w:type="dxa"/>
            <w:gridSpan w:val="2"/>
            <w:vMerge w:val="continue"/>
            <w:tcBorders>
              <w:top w:val="single" w:color="auto" w:sz="4" w:space="0"/>
              <w:left w:val="single" w:color="auto" w:sz="4" w:space="0"/>
              <w:bottom w:val="nil"/>
              <w:right w:val="single" w:color="000000" w:sz="4" w:space="0"/>
            </w:tcBorders>
            <w:vAlign w:val="center"/>
          </w:tcPr>
          <w:p>
            <w:pPr>
              <w:spacing w:line="240" w:lineRule="exact"/>
              <w:rPr>
                <w:sz w:val="20"/>
                <w:szCs w:val="20"/>
              </w:rPr>
            </w:pPr>
          </w:p>
        </w:tc>
        <w:tc>
          <w:tcPr>
            <w:tcW w:w="911" w:type="dxa"/>
            <w:vMerge w:val="continue"/>
            <w:tcBorders>
              <w:top w:val="nil"/>
              <w:left w:val="nil"/>
              <w:bottom w:val="nil"/>
              <w:right w:val="single" w:color="auto" w:sz="4" w:space="0"/>
            </w:tcBorders>
            <w:vAlign w:val="center"/>
          </w:tcPr>
          <w:p>
            <w:pPr>
              <w:spacing w:line="240" w:lineRule="exact"/>
              <w:rPr>
                <w:sz w:val="20"/>
                <w:szCs w:val="20"/>
              </w:rPr>
            </w:pPr>
          </w:p>
        </w:tc>
      </w:tr>
      <w:tr>
        <w:tblPrEx>
          <w:tblLayout w:type="fixed"/>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64" w:type="dxa"/>
            <w:vMerge w:val="continue"/>
            <w:tcBorders>
              <w:top w:val="nil"/>
              <w:left w:val="single" w:color="auto" w:sz="4" w:space="0"/>
              <w:bottom w:val="single" w:color="000000" w:sz="4" w:space="0"/>
              <w:right w:val="single" w:color="auto" w:sz="4" w:space="0"/>
            </w:tcBorders>
            <w:vAlign w:val="center"/>
          </w:tcPr>
          <w:p>
            <w:pPr>
              <w:spacing w:line="240" w:lineRule="exact"/>
              <w:rPr>
                <w:sz w:val="20"/>
                <w:szCs w:val="20"/>
              </w:rPr>
            </w:pPr>
          </w:p>
        </w:tc>
        <w:tc>
          <w:tcPr>
            <w:tcW w:w="516"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12</w:t>
            </w:r>
          </w:p>
        </w:tc>
        <w:tc>
          <w:tcPr>
            <w:tcW w:w="1025"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行政效能</w:t>
            </w:r>
          </w:p>
        </w:tc>
        <w:tc>
          <w:tcPr>
            <w:tcW w:w="49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6</w:t>
            </w:r>
          </w:p>
        </w:tc>
        <w:tc>
          <w:tcPr>
            <w:tcW w:w="26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促进部门改进文风会风，加强经费及资产管理，推动网上办事，提高行政效率，降低行政成本效果较好的计6分；一般3分；无效果或者效果不明显0分。</w:t>
            </w:r>
          </w:p>
        </w:tc>
        <w:tc>
          <w:tcPr>
            <w:tcW w:w="289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根据部门自评材料评定。</w:t>
            </w:r>
          </w:p>
        </w:tc>
        <w:tc>
          <w:tcPr>
            <w:tcW w:w="911"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6</w:t>
            </w:r>
          </w:p>
        </w:tc>
      </w:tr>
      <w:tr>
        <w:tblPrEx>
          <w:tblLayout w:type="fixed"/>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auto" w:sz="4" w:space="0"/>
              <w:right w:val="single" w:color="auto" w:sz="4" w:space="0"/>
            </w:tcBorders>
            <w:vAlign w:val="center"/>
          </w:tcPr>
          <w:p>
            <w:pPr>
              <w:spacing w:line="240" w:lineRule="exact"/>
              <w:rPr>
                <w:sz w:val="20"/>
                <w:szCs w:val="20"/>
              </w:rPr>
            </w:pPr>
          </w:p>
        </w:tc>
        <w:tc>
          <w:tcPr>
            <w:tcW w:w="529" w:type="dxa"/>
            <w:vMerge w:val="continue"/>
            <w:tcBorders>
              <w:top w:val="nil"/>
              <w:left w:val="single" w:color="auto" w:sz="4" w:space="0"/>
              <w:bottom w:val="single" w:color="auto" w:sz="4" w:space="0"/>
              <w:right w:val="single" w:color="auto" w:sz="4" w:space="0"/>
            </w:tcBorders>
            <w:vAlign w:val="center"/>
          </w:tcPr>
          <w:p>
            <w:pPr>
              <w:spacing w:line="240" w:lineRule="exact"/>
              <w:rPr>
                <w:sz w:val="20"/>
                <w:szCs w:val="20"/>
              </w:rPr>
            </w:pPr>
          </w:p>
        </w:tc>
        <w:tc>
          <w:tcPr>
            <w:tcW w:w="564" w:type="dxa"/>
            <w:vMerge w:val="continue"/>
            <w:tcBorders>
              <w:top w:val="nil"/>
              <w:left w:val="single" w:color="auto" w:sz="4" w:space="0"/>
              <w:bottom w:val="single" w:color="auto" w:sz="4" w:space="0"/>
              <w:right w:val="single" w:color="auto" w:sz="4" w:space="0"/>
            </w:tcBorders>
            <w:vAlign w:val="center"/>
          </w:tcPr>
          <w:p>
            <w:pPr>
              <w:spacing w:line="240" w:lineRule="exact"/>
              <w:rPr>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pPr>
              <w:spacing w:line="240" w:lineRule="exact"/>
              <w:rPr>
                <w:sz w:val="20"/>
                <w:szCs w:val="20"/>
              </w:rPr>
            </w:pPr>
          </w:p>
        </w:tc>
        <w:tc>
          <w:tcPr>
            <w:tcW w:w="10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社会公众或服务对象满意度</w:t>
            </w:r>
          </w:p>
        </w:tc>
        <w:tc>
          <w:tcPr>
            <w:tcW w:w="4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6</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90%（含）以上计6分；</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80%（含）-90%，计4分；</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70%（含）-80%，计2分；</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低于70%计0分。</w:t>
            </w:r>
          </w:p>
        </w:tc>
        <w:tc>
          <w:tcPr>
            <w:tcW w:w="2893"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社会公众或服务对象是指部门（单位）履行职责而影响到的部门、群体或个人，一般采取社会调查的方式。</w:t>
            </w:r>
          </w:p>
        </w:tc>
        <w:tc>
          <w:tcPr>
            <w:tcW w:w="911"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24"/>
              </w:rPr>
            </w:pPr>
            <w:r>
              <w:rPr>
                <w:rFonts w:hint="eastAsia" w:ascii="宋体" w:hAnsi="宋体" w:cs="宋体"/>
                <w:kern w:val="0"/>
                <w:sz w:val="24"/>
              </w:rPr>
              <w:t>6</w:t>
            </w:r>
          </w:p>
        </w:tc>
      </w:tr>
      <w:tr>
        <w:tblPrEx>
          <w:tblLayout w:type="fixed"/>
          <w:tblCellMar>
            <w:top w:w="0" w:type="dxa"/>
            <w:left w:w="108" w:type="dxa"/>
            <w:bottom w:w="0" w:type="dxa"/>
            <w:right w:w="108" w:type="dxa"/>
          </w:tblCellMar>
        </w:tblPrEx>
        <w:trPr>
          <w:trHeight w:val="445" w:hRule="atLeast"/>
          <w:jc w:val="center"/>
        </w:trPr>
        <w:tc>
          <w:tcPr>
            <w:tcW w:w="1611" w:type="dxa"/>
            <w:gridSpan w:val="3"/>
            <w:tcBorders>
              <w:top w:val="single" w:color="auto" w:sz="4" w:space="0"/>
              <w:left w:val="single" w:color="auto" w:sz="4" w:space="0"/>
              <w:bottom w:val="single" w:color="000000" w:sz="4" w:space="0"/>
              <w:right w:val="single" w:color="auto" w:sz="4" w:space="0"/>
            </w:tcBorders>
            <w:vAlign w:val="center"/>
          </w:tcPr>
          <w:p>
            <w:pPr>
              <w:spacing w:line="240" w:lineRule="exact"/>
              <w:jc w:val="center"/>
              <w:rPr>
                <w:sz w:val="20"/>
                <w:szCs w:val="20"/>
              </w:rPr>
            </w:pPr>
            <w:r>
              <w:rPr>
                <w:rFonts w:hint="eastAsia"/>
                <w:sz w:val="20"/>
                <w:szCs w:val="20"/>
              </w:rPr>
              <w:t>总  分</w:t>
            </w:r>
          </w:p>
        </w:tc>
        <w:tc>
          <w:tcPr>
            <w:tcW w:w="516" w:type="dxa"/>
            <w:tcBorders>
              <w:top w:val="single" w:color="auto" w:sz="4" w:space="0"/>
              <w:left w:val="single" w:color="auto" w:sz="4" w:space="0"/>
              <w:bottom w:val="single" w:color="000000" w:sz="4" w:space="0"/>
              <w:right w:val="single" w:color="auto" w:sz="4" w:space="0"/>
            </w:tcBorders>
            <w:vAlign w:val="center"/>
          </w:tcPr>
          <w:p>
            <w:pPr>
              <w:spacing w:line="240" w:lineRule="exact"/>
              <w:rPr>
                <w:sz w:val="16"/>
                <w:szCs w:val="16"/>
              </w:rPr>
            </w:pPr>
            <w:r>
              <w:rPr>
                <w:rFonts w:hint="eastAsia"/>
                <w:sz w:val="16"/>
                <w:szCs w:val="16"/>
              </w:rPr>
              <w:t>100</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p>
        </w:tc>
        <w:tc>
          <w:tcPr>
            <w:tcW w:w="49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4"/>
                <w:szCs w:val="14"/>
              </w:rPr>
            </w:pPr>
            <w:r>
              <w:rPr>
                <w:rFonts w:hint="eastAsia" w:ascii="仿宋_GB2312" w:hAnsi="宋体" w:eastAsia="仿宋_GB2312" w:cs="宋体"/>
                <w:kern w:val="0"/>
                <w:sz w:val="14"/>
                <w:szCs w:val="14"/>
              </w:rPr>
              <w:t>100</w:t>
            </w:r>
          </w:p>
        </w:tc>
        <w:tc>
          <w:tcPr>
            <w:tcW w:w="26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p>
        </w:tc>
        <w:tc>
          <w:tcPr>
            <w:tcW w:w="289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0"/>
                <w:szCs w:val="20"/>
              </w:rPr>
            </w:pPr>
          </w:p>
        </w:tc>
        <w:tc>
          <w:tcPr>
            <w:tcW w:w="911"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24"/>
                <w:lang w:val="en-US" w:eastAsia="zh-CN"/>
              </w:rPr>
            </w:pPr>
            <w:r>
              <w:rPr>
                <w:rFonts w:hint="eastAsia" w:ascii="宋体" w:hAnsi="宋体" w:cs="宋体"/>
                <w:kern w:val="0"/>
                <w:sz w:val="24"/>
                <w:lang w:val="en-US" w:eastAsia="zh-CN"/>
              </w:rPr>
              <w:t>99</w:t>
            </w:r>
            <w:bookmarkStart w:id="0" w:name="_GoBack"/>
            <w:bookmarkEnd w:id="0"/>
          </w:p>
        </w:tc>
      </w:tr>
    </w:tbl>
    <w:p/>
    <w:sectPr>
      <w:pgSz w:w="11906" w:h="16838"/>
      <w:pgMar w:top="1418" w:right="1230" w:bottom="1134" w:left="123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1E"/>
    <w:rsid w:val="000A0B82"/>
    <w:rsid w:val="000D3E39"/>
    <w:rsid w:val="00107242"/>
    <w:rsid w:val="00123087"/>
    <w:rsid w:val="00132187"/>
    <w:rsid w:val="001D1D5A"/>
    <w:rsid w:val="00245F4E"/>
    <w:rsid w:val="002D0BDE"/>
    <w:rsid w:val="00316BF8"/>
    <w:rsid w:val="0036145A"/>
    <w:rsid w:val="003930E0"/>
    <w:rsid w:val="00432EDB"/>
    <w:rsid w:val="004A7C80"/>
    <w:rsid w:val="004E0B68"/>
    <w:rsid w:val="0052216E"/>
    <w:rsid w:val="00532820"/>
    <w:rsid w:val="0055601E"/>
    <w:rsid w:val="0057423A"/>
    <w:rsid w:val="00601ED7"/>
    <w:rsid w:val="00606A47"/>
    <w:rsid w:val="00650382"/>
    <w:rsid w:val="0069294C"/>
    <w:rsid w:val="007A3C13"/>
    <w:rsid w:val="007A7090"/>
    <w:rsid w:val="00810801"/>
    <w:rsid w:val="008F0568"/>
    <w:rsid w:val="009506FD"/>
    <w:rsid w:val="009A2EBA"/>
    <w:rsid w:val="00A15992"/>
    <w:rsid w:val="00A25B1D"/>
    <w:rsid w:val="00A528C1"/>
    <w:rsid w:val="00B22664"/>
    <w:rsid w:val="00BA67EA"/>
    <w:rsid w:val="00BC43B1"/>
    <w:rsid w:val="00C01EAF"/>
    <w:rsid w:val="00C378B3"/>
    <w:rsid w:val="00C37F6B"/>
    <w:rsid w:val="00C72F9A"/>
    <w:rsid w:val="00D82F2F"/>
    <w:rsid w:val="00DC44A1"/>
    <w:rsid w:val="00DD7913"/>
    <w:rsid w:val="00DE4276"/>
    <w:rsid w:val="00DE4C80"/>
    <w:rsid w:val="00DE60C5"/>
    <w:rsid w:val="00E03D95"/>
    <w:rsid w:val="00E345E3"/>
    <w:rsid w:val="00E614A0"/>
    <w:rsid w:val="00E82BA6"/>
    <w:rsid w:val="00F00571"/>
    <w:rsid w:val="00F0448A"/>
    <w:rsid w:val="00F10E06"/>
    <w:rsid w:val="00F34ED7"/>
    <w:rsid w:val="00F92BDB"/>
    <w:rsid w:val="00FA1F2C"/>
    <w:rsid w:val="09F228EE"/>
    <w:rsid w:val="0A27725B"/>
    <w:rsid w:val="142C67DD"/>
    <w:rsid w:val="190B625F"/>
    <w:rsid w:val="22474373"/>
    <w:rsid w:val="2AC06D73"/>
    <w:rsid w:val="2EF052B9"/>
    <w:rsid w:val="41445E36"/>
    <w:rsid w:val="46A10A7E"/>
    <w:rsid w:val="488C1CB7"/>
    <w:rsid w:val="4D0D6DC3"/>
    <w:rsid w:val="53650FED"/>
    <w:rsid w:val="53A21ED7"/>
    <w:rsid w:val="57486A4A"/>
    <w:rsid w:val="5CAC57BE"/>
    <w:rsid w:val="5D9D556C"/>
    <w:rsid w:val="6493028F"/>
    <w:rsid w:val="6D8578B3"/>
    <w:rsid w:val="71C975BB"/>
    <w:rsid w:val="72B64460"/>
    <w:rsid w:val="750270CC"/>
    <w:rsid w:val="773B4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2</Pages>
  <Words>308</Words>
  <Characters>1762</Characters>
  <Lines>14</Lines>
  <Paragraphs>4</Paragraphs>
  <TotalTime>153</TotalTime>
  <ScaleCrop>false</ScaleCrop>
  <LinksUpToDate>false</LinksUpToDate>
  <CharactersWithSpaces>2066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2018-04-23T07:49:00Z</dcterms:created>
  <dc:creator>ChinaUser</dc:creator>
  <cp:lastModifiedBy>Administrator</cp:lastModifiedBy>
  <dcterms:modified xsi:type="dcterms:W3CDTF">2020-09-21T05:42:33Z</dcterms:modified>
  <dc:title>附件3：</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